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line="360"/>
        <w:rPr>
          <w:lang/>
          <w:b/>
          <w:sz w:val="40"/>
          <w:szCs w:val="40"/>
          <w:rtl w:val="off"/>
        </w:rPr>
      </w:pPr>
      <w:r>
        <w:drawing>
          <wp:anchor distT="0" distB="0" distL="114300" distR="114300" behindDoc="0" locked="0" layoutInCell="1" simplePos="0" relativeHeight="251660288" allowOverlap="1" hidden="0">
            <wp:simplePos x="0" y="0"/>
            <wp:positionH relativeFrom="column">
              <wp:posOffset>5403821</wp:posOffset>
            </wp:positionH>
            <wp:positionV relativeFrom="paragraph">
              <wp:posOffset>-923637</wp:posOffset>
            </wp:positionV>
            <wp:extent cx="1276274" cy="1138323"/>
            <wp:effectExtent l="0" t="0" r="0" b="0"/>
            <wp:wrapNone/>
            <wp:docPr id="1025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"/>
                    <pic:cNvPicPr>
                      <a:picLocks noUngrp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274" cy="11383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spacing w:line="360"/>
        <w:rPr>
          <w:lang/>
          <w:b/>
          <w:sz w:val="40"/>
          <w:szCs w:val="40"/>
          <w:rtl w:val="off"/>
        </w:rPr>
      </w:pPr>
    </w:p>
    <w:p>
      <w:pPr>
        <w:jc w:val="center"/>
        <w:spacing w:line="360"/>
        <w:rPr>
          <w:b/>
          <w:sz w:val="40"/>
          <w:szCs w:val="40"/>
        </w:rPr>
      </w:pPr>
      <w:r>
        <w:rPr>
          <w:b/>
          <w:sz w:val="40"/>
          <w:szCs w:val="40"/>
          <w:rtl w:val="off"/>
        </w:rPr>
        <w:t>Easy-to-Read Guidelines for Refugees</w:t>
      </w:r>
    </w:p>
    <w:p>
      <w:pPr>
        <w:jc w:val="center"/>
        <w:spacing w:line="360"/>
        <w:rPr>
          <w:lang/>
          <w:b/>
          <w:sz w:val="40"/>
          <w:szCs w:val="40"/>
          <w:rtl w:val="off"/>
        </w:rPr>
      </w:pPr>
      <w:r>
        <w:rPr>
          <w:b/>
          <w:sz w:val="40"/>
          <w:szCs w:val="40"/>
          <w:rtl w:val="off"/>
        </w:rPr>
        <w:t xml:space="preserve"> </w:t>
      </w:r>
      <w:r>
        <w:rPr>
          <w:rFonts w:ascii="Arial Unicode MS" w:eastAsia="Arial Unicode MS" w:hAnsi="Arial Unicode MS" w:cs="Arial Unicode MS"/>
          <w:b/>
          <w:sz w:val="40"/>
          <w:szCs w:val="40"/>
          <w:rtl w:val="off"/>
        </w:rPr>
        <w:t xml:space="preserve">난민을 위한  </w:t>
      </w:r>
      <w:r>
        <w:rPr>
          <w:rFonts w:ascii="Arial Unicode MS" w:eastAsia="Arial Unicode MS" w:hAnsi="Arial Unicode MS" w:cs="Arial Unicode MS"/>
          <w:b/>
          <w:sz w:val="40"/>
          <w:szCs w:val="40"/>
          <w:rtl w:val="off"/>
        </w:rPr>
        <w:t>읽기 쉬운</w:t>
      </w:r>
      <w:r>
        <w:rPr>
          <w:rFonts w:ascii="Arial Unicode MS" w:eastAsia="Arial Unicode MS" w:hAnsi="Arial Unicode MS" w:cs="Arial Unicode MS"/>
          <w:b/>
          <w:sz w:val="40"/>
          <w:szCs w:val="40"/>
          <w:rtl w:val="off"/>
        </w:rPr>
        <w:t xml:space="preserve"> 정보 제공 길라잡이</w:t>
      </w:r>
    </w:p>
    <w:p>
      <w:pPr>
        <w:jc w:val="both"/>
        <w:spacing w:line="360"/>
        <w:rPr>
          <w:b/>
          <w:sz w:val="30"/>
          <w:szCs w:val="30"/>
        </w:rPr>
      </w:pPr>
    </w:p>
    <w:p>
      <w:pPr>
        <w:jc w:val="both"/>
        <w:spacing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 xml:space="preserve">Easy-to-read material is important for people with intellectual disabilities, people with low literacy skills, and people for whom the language of the original text is not their first language. Easy-to-read is a global standard that comes under the right to accessible information.     </w:t>
      </w:r>
    </w:p>
    <w:p>
      <w:pPr>
        <w:jc w:val="both"/>
        <w:spacing w:line="360" w:lineRule="auto"/>
        <w:rPr>
          <w:sz w:val="24"/>
          <w:szCs w:val="24"/>
        </w:rPr>
      </w:pPr>
    </w:p>
    <w:p>
      <w:pPr>
        <w:jc w:val="both"/>
        <w:spacing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 xml:space="preserve">Migration to Asia Peace (MAP) has developed guidelines for making information easy to read and understand for refugees and has begun applying them to </w:t>
      </w:r>
      <w:r>
        <w:rPr>
          <w:i/>
          <w:sz w:val="24"/>
          <w:szCs w:val="24"/>
          <w:rtl w:val="off"/>
        </w:rPr>
        <w:t>Refugee News</w:t>
      </w:r>
      <w:r>
        <w:rPr>
          <w:sz w:val="24"/>
          <w:szCs w:val="24"/>
          <w:rtl w:val="off"/>
        </w:rPr>
        <w:t xml:space="preserve">. We hope the practice of making information more accessible becomes widespread. Then, more refugees can access information, learn new things, and participate in society.  </w:t>
      </w:r>
    </w:p>
    <w:p>
      <w:pPr>
        <w:jc w:val="left"/>
        <w:spacing w:line="360" w:lineRule="auto"/>
        <w:rPr>
          <w:sz w:val="24"/>
          <w:szCs w:val="24"/>
        </w:rPr>
      </w:pPr>
    </w:p>
    <w:p>
      <w:pPr>
        <w:jc w:val="both"/>
        <w:spacing w:line="276" w:lineRule="auto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  <w:rtl w:val="off"/>
        </w:rPr>
        <w:t>읽기 쉬운 자료는 지적 장애가 있는 사람, 읽기 쓰기 능력이 낮은 사람, 글에 쓰인 언어가 제1 언어가 아닌 사람에게 중요합니다. 읽기 쉽다는 것은 접근할 수 있는 정보에 대한 권리로 국제적 표준입니다.</w:t>
      </w:r>
    </w:p>
    <w:p>
      <w:pPr>
        <w:jc w:val="both"/>
        <w:spacing w:line="276" w:lineRule="auto"/>
        <w:rPr>
          <w:sz w:val="24"/>
          <w:szCs w:val="24"/>
        </w:rPr>
      </w:pPr>
    </w:p>
    <w:p>
      <w:pPr>
        <w:spacing w:after="240" w:before="240" w:line="360" w:lineRule="auto"/>
        <w:rPr>
          <w:lang/>
          <w:rFonts w:ascii="Arial Unicode MS" w:eastAsia="Arial Unicode MS" w:hAnsi="Arial Unicode MS" w:cs="Arial Unicode MS"/>
          <w:sz w:val="24"/>
          <w:szCs w:val="24"/>
          <w:rtl w:val="off"/>
        </w:rPr>
      </w:pPr>
      <w:r>
        <w:rPr>
          <w:rFonts w:ascii="Arial Unicode MS" w:eastAsia="Arial Unicode MS" w:hAnsi="Arial Unicode MS" w:cs="Arial Unicode MS"/>
          <w:sz w:val="24"/>
          <w:szCs w:val="24"/>
          <w:rtl w:val="off"/>
        </w:rPr>
        <w:t>아시아평화를향한이주(MAP)는 난민이 정보를 쉽게 읽고 이해할 수 있도록 길라잡이를 개발해 ‘난민뉴스’에 적용하기 시작했습니다. 우리는 정보에 대한 접근성을 높이는 실천이 널리 확산하기를 바랍니다. 그러면 더 많은 난민이 정보에 접근하고, 새로운 것을 배우고, 사회에 참여할 수 있게 됩니다.</w:t>
      </w:r>
    </w:p>
    <w:p>
      <w:pPr>
        <w:spacing w:after="240" w:before="240" w:line="360" w:lineRule="auto"/>
        <w:rPr>
          <w:lang/>
          <w:rFonts w:ascii="Arial Unicode MS" w:eastAsia="Arial Unicode MS" w:hAnsi="Arial Unicode MS" w:cs="Arial Unicode MS"/>
          <w:sz w:val="24"/>
          <w:szCs w:val="24"/>
          <w:rtl w:val="off"/>
        </w:rPr>
      </w:pPr>
    </w:p>
    <w:p>
      <w:pPr>
        <w:spacing w:after="240" w:before="240" w:line="360" w:lineRule="auto"/>
        <w:rPr>
          <w:b/>
          <w:sz w:val="30"/>
          <w:szCs w:val="30"/>
        </w:rPr>
      </w:pPr>
      <w:r>
        <w:drawing>
          <wp:anchor distT="0" distB="0" distL="114300" distR="114300" behindDoc="0" locked="0" layoutInCell="1" simplePos="0" relativeHeight="251661312" allowOverlap="1" hidden="0">
            <wp:simplePos x="0" y="0"/>
            <wp:positionH relativeFrom="column">
              <wp:posOffset>5398047</wp:posOffset>
            </wp:positionH>
            <wp:positionV relativeFrom="paragraph">
              <wp:posOffset>-923634</wp:posOffset>
            </wp:positionV>
            <wp:extent cx="1276274" cy="1138323"/>
            <wp:effectExtent l="0" t="0" r="0" b="0"/>
            <wp:wrapNone/>
            <wp:docPr id="1026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"/>
                    <pic:cNvPicPr>
                      <a:picLocks noUngrp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274" cy="11383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0"/>
          <w:szCs w:val="30"/>
          <w:rtl w:val="off"/>
        </w:rPr>
        <w:t>General Rules</w:t>
      </w:r>
    </w:p>
    <w:p>
      <w:pPr>
        <w:spacing w:after="240" w:before="240" w:line="360" w:lineRule="auto"/>
        <w:rPr>
          <w:b/>
          <w:sz w:val="24"/>
          <w:szCs w:val="24"/>
          <w:u w:val="single" w:color="auto"/>
        </w:rPr>
      </w:pPr>
      <w:r>
        <w:rPr>
          <w:b/>
          <w:sz w:val="24"/>
          <w:szCs w:val="24"/>
          <w:u w:val="single" w:color="auto"/>
          <w:rtl w:val="off"/>
        </w:rPr>
        <w:t>Text Structure and Layout</w:t>
      </w:r>
    </w:p>
    <w:p>
      <w:pPr>
        <w:spacing w:after="240" w:before="24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 xml:space="preserve">1. </w:t>
      </w:r>
      <w:r>
        <w:rPr>
          <w:sz w:val="24"/>
          <w:szCs w:val="24"/>
          <w:rtl w:val="off"/>
        </w:rPr>
        <w:t>Simple Sentences</w:t>
      </w:r>
    </w:p>
    <w:p>
      <w:pPr>
        <w:ind w:left="720" w:hanging="360"/>
        <w:numPr>
          <w:ilvl w:val="0"/>
          <w:numId w:val="1"/>
        </w:numPr>
        <w:spacing w:after="0" w:afterAutospacing="0" w:before="24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Keep one piece of information or point in each sentence.</w:t>
      </w:r>
    </w:p>
    <w:p>
      <w:pPr>
        <w:ind w:left="720" w:hanging="360"/>
        <w:numPr>
          <w:ilvl w:val="0"/>
          <w:numId w:val="1"/>
        </w:numPr>
        <w:spacing w:after="0" w:afterAutospacing="0" w:before="0" w:beforeAutospacing="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If more information is needed for clarity, please keep the sentences concise.</w:t>
      </w:r>
    </w:p>
    <w:p>
      <w:pPr>
        <w:ind w:left="720" w:hanging="360"/>
        <w:numPr>
          <w:ilvl w:val="0"/>
          <w:numId w:val="1"/>
        </w:numPr>
        <w:spacing w:after="240" w:before="0" w:beforeAutospacing="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Avoid complex sentence structures and break long sentences into shorter ones.</w:t>
      </w:r>
    </w:p>
    <w:p>
      <w:pPr>
        <w:spacing w:after="240" w:before="24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2. Short Paragraphs</w:t>
      </w:r>
    </w:p>
    <w:p>
      <w:pPr>
        <w:ind w:left="720" w:hanging="360"/>
        <w:numPr>
          <w:ilvl w:val="0"/>
          <w:numId w:val="2"/>
        </w:numPr>
        <w:spacing w:after="240" w:before="24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Each paragraph should cover only one topic.</w:t>
      </w:r>
    </w:p>
    <w:p>
      <w:pPr>
        <w:spacing w:after="240" w:before="24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3. Use of Headings</w:t>
      </w:r>
    </w:p>
    <w:p>
      <w:pPr>
        <w:ind w:left="720" w:hanging="360"/>
        <w:numPr>
          <w:ilvl w:val="0"/>
          <w:numId w:val="3"/>
        </w:numPr>
        <w:spacing w:after="0" w:afterAutospacing="0" w:before="24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Create intuitive headings that include the subject and main point.</w:t>
      </w:r>
    </w:p>
    <w:p>
      <w:pPr>
        <w:ind w:left="720" w:hanging="360"/>
        <w:numPr>
          <w:ilvl w:val="0"/>
          <w:numId w:val="3"/>
        </w:numPr>
        <w:spacing w:after="0" w:afterAutospacing="0" w:before="0" w:beforeAutospacing="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Differentiate between headings and subheadings to logically organize information.</w:t>
      </w:r>
    </w:p>
    <w:p>
      <w:pPr>
        <w:ind w:left="720" w:hanging="360"/>
        <w:numPr>
          <w:ilvl w:val="0"/>
          <w:numId w:val="3"/>
        </w:numPr>
        <w:spacing w:after="240" w:before="0" w:beforeAutospacing="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Use subheadings that best describe the content.</w:t>
      </w:r>
    </w:p>
    <w:p>
      <w:pPr>
        <w:spacing w:after="240" w:before="24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4. Text Formatting</w:t>
      </w:r>
    </w:p>
    <w:p>
      <w:pPr>
        <w:ind w:left="720" w:hanging="360"/>
        <w:numPr>
          <w:ilvl w:val="0"/>
          <w:numId w:val="4"/>
        </w:numPr>
        <w:spacing w:after="0" w:afterAutospacing="0" w:before="24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Choose fonts and font sizes considering the age and nationality of the readers.</w:t>
      </w:r>
    </w:p>
    <w:p>
      <w:pPr>
        <w:ind w:left="720" w:hanging="360"/>
        <w:numPr>
          <w:ilvl w:val="0"/>
          <w:numId w:val="4"/>
        </w:numPr>
        <w:spacing w:after="0" w:afterAutospacing="0" w:before="0" w:beforeAutospacing="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Adjust line spacing and provide sufficient margins.</w:t>
      </w:r>
    </w:p>
    <w:p>
      <w:pPr>
        <w:ind w:left="720" w:hanging="360"/>
        <w:numPr>
          <w:ilvl w:val="0"/>
          <w:numId w:val="4"/>
        </w:numPr>
        <w:spacing w:after="240" w:before="0" w:beforeAutospacing="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For</w:t>
      </w:r>
      <w:r>
        <w:rPr>
          <w:sz w:val="24"/>
          <w:szCs w:val="24"/>
          <w:rtl w:val="off"/>
        </w:rPr>
        <w:t xml:space="preserve"> </w:t>
      </w:r>
      <w:r>
        <w:rPr>
          <w:sz w:val="24"/>
          <w:szCs w:val="24"/>
          <w:rtl w:val="off"/>
        </w:rPr>
        <w:t>languages that use right-to-left scripts</w:t>
      </w:r>
      <w:r>
        <w:rPr>
          <w:sz w:val="24"/>
          <w:szCs w:val="24"/>
          <w:rtl w:val="off"/>
        </w:rPr>
        <w:t>, align the text accordingly.</w:t>
      </w:r>
    </w:p>
    <w:p>
      <w:pPr>
        <w:spacing w:after="240" w:before="240" w:line="360" w:lineRule="auto"/>
        <w:rPr>
          <w:sz w:val="24"/>
          <w:szCs w:val="24"/>
          <w:u w:val="single" w:color="auto"/>
        </w:rPr>
      </w:pPr>
      <w:r>
        <w:rPr>
          <w:b/>
          <w:sz w:val="24"/>
          <w:szCs w:val="24"/>
          <w:u w:val="single" w:color="auto"/>
          <w:rtl w:val="off"/>
        </w:rPr>
        <w:t>Vocabulary and Grammar</w:t>
      </w:r>
      <w:r>
        <w:rPr>
          <w:sz w:val="24"/>
          <w:szCs w:val="24"/>
          <w:u w:val="single" w:color="auto"/>
          <w:rtl w:val="off"/>
        </w:rPr>
        <w:t xml:space="preserve"> </w:t>
      </w:r>
    </w:p>
    <w:p>
      <w:pPr>
        <w:spacing w:after="240" w:before="24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5. '</w:t>
      </w:r>
      <w:r>
        <w:rPr>
          <w:sz w:val="24"/>
          <w:szCs w:val="24"/>
          <w:rtl w:val="off"/>
        </w:rPr>
        <w:t>Easy-to-Understand’ Words</w:t>
      </w:r>
    </w:p>
    <w:p>
      <w:pPr>
        <w:ind w:left="720" w:hanging="360"/>
        <w:numPr>
          <w:ilvl w:val="0"/>
          <w:numId w:val="5"/>
        </w:numPr>
        <w:spacing w:after="0" w:afterAutospacing="0" w:before="24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Avoid complex and technical terms. If difficult terms are necessary, provide explanations.</w:t>
      </w:r>
    </w:p>
    <w:p>
      <w:pPr>
        <w:ind w:left="720" w:hanging="360"/>
        <w:numPr>
          <w:ilvl w:val="0"/>
          <w:numId w:val="5"/>
        </w:numPr>
        <w:spacing w:after="0" w:afterAutospacing="0" w:before="0" w:beforeAutospacing="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Do not use abbreviations unless necessary for context.</w:t>
      </w:r>
    </w:p>
    <w:p>
      <w:pPr>
        <w:ind w:left="720" w:hanging="360"/>
        <w:numPr>
          <w:ilvl w:val="0"/>
          <w:numId w:val="5"/>
        </w:numPr>
        <w:spacing w:after="0" w:afterAutospacing="0" w:before="0" w:beforeAutospacing="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Use the most commonly used words.</w:t>
      </w:r>
    </w:p>
    <w:p>
      <w:pPr>
        <w:ind w:left="720" w:hanging="360"/>
        <w:numPr>
          <w:ilvl w:val="0"/>
          <w:numId w:val="5"/>
        </w:numPr>
        <w:spacing w:after="0" w:afterAutospacing="0" w:before="0" w:beforeAutospacing="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Do not change the terms used in official documents. This will make it easier to find information online or in official documents.</w:t>
      </w:r>
    </w:p>
    <w:p>
      <w:pPr>
        <w:ind w:left="1440" w:hanging="360"/>
        <w:numPr>
          <w:ilvl w:val="1"/>
          <w:numId w:val="5"/>
        </w:numPr>
        <w:spacing w:after="0" w:afterAutospacing="0" w:before="0" w:beforeAutospacing="0" w:line="360" w:lineRule="auto"/>
        <w:rPr>
          <w:sz w:val="24"/>
          <w:szCs w:val="24"/>
        </w:rPr>
      </w:pPr>
      <w:r>
        <w:drawing>
          <wp:anchor distT="0" distB="0" distL="114300" distR="114300" behindDoc="0" locked="0" layoutInCell="1" simplePos="0" relativeHeight="251662336" allowOverlap="1" hidden="0">
            <wp:simplePos x="0" y="0"/>
            <wp:positionH relativeFrom="column">
              <wp:posOffset>5438457</wp:posOffset>
            </wp:positionH>
            <wp:positionV relativeFrom="paragraph">
              <wp:posOffset>-923632</wp:posOffset>
            </wp:positionV>
            <wp:extent cx="1207001" cy="1103684"/>
            <wp:effectExtent l="0" t="0" r="0" b="0"/>
            <wp:wrapNone/>
            <wp:docPr id="1027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"/>
                    <pic:cNvPicPr>
                      <a:picLocks noUngrp="1"/>
                    </pic:cNvPicPr>
                  </pic:nvPicPr>
                  <pic:blipFill>
                    <a:blip r:embed="rId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7001" cy="1103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szCs w:val="24"/>
          <w:rtl w:val="off"/>
        </w:rPr>
        <w:t>Official terms</w:t>
      </w:r>
      <w:r>
        <w:rPr>
          <w:sz w:val="24"/>
          <w:szCs w:val="24"/>
          <w:rtl w:val="off"/>
        </w:rPr>
        <w:t xml:space="preserve">: </w:t>
      </w:r>
      <w:r>
        <w:rPr>
          <w:sz w:val="24"/>
          <w:szCs w:val="24"/>
          <w:rtl w:val="off"/>
        </w:rPr>
        <w:t>Work Permit(Engage in Activities not Covered by the Status of Sojourn)</w:t>
      </w:r>
      <w:r>
        <w:rPr>
          <w:sz w:val="24"/>
          <w:szCs w:val="24"/>
          <w:rtl w:val="off"/>
        </w:rPr>
        <w:t>, Foreign Resident Registration, Immigration Control Act, etc.</w:t>
      </w:r>
    </w:p>
    <w:p>
      <w:pPr>
        <w:ind w:left="1440" w:hanging="360"/>
        <w:numPr>
          <w:ilvl w:val="1"/>
          <w:numId w:val="5"/>
        </w:numPr>
        <w:spacing w:after="0" w:afterAutospacing="0" w:before="0" w:beforeAutospacing="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 xml:space="preserve">Document names: </w:t>
      </w:r>
      <w:r>
        <w:rPr>
          <w:sz w:val="24"/>
          <w:szCs w:val="24"/>
          <w:rtl w:val="off"/>
        </w:rPr>
        <w:t>Application Form(Report Form)</w:t>
      </w:r>
      <w:r>
        <w:rPr>
          <w:sz w:val="24"/>
          <w:szCs w:val="24"/>
          <w:rtl w:val="off"/>
        </w:rPr>
        <w:t>,</w:t>
      </w:r>
      <w:r>
        <w:rPr>
          <w:sz w:val="24"/>
          <w:szCs w:val="24"/>
          <w:rtl w:val="off"/>
        </w:rPr>
        <w:t>Application for Recognition of Refugee Status</w:t>
      </w:r>
      <w:r>
        <w:rPr>
          <w:sz w:val="24"/>
          <w:szCs w:val="24"/>
          <w:rtl w:val="off"/>
        </w:rPr>
        <w:t>, etc.</w:t>
      </w:r>
    </w:p>
    <w:p>
      <w:pPr>
        <w:ind w:left="1440" w:hanging="360"/>
        <w:numPr>
          <w:ilvl w:val="1"/>
          <w:numId w:val="5"/>
        </w:numPr>
        <w:spacing w:after="240" w:before="0" w:beforeAutospacing="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Building names: National Health Insurance Service, Immigration Office, etc.</w:t>
      </w:r>
    </w:p>
    <w:p>
      <w:pPr>
        <w:ind w:left="0" w:firstLine="0"/>
        <w:spacing w:after="240" w:before="24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6. Grammar</w:t>
      </w:r>
    </w:p>
    <w:p>
      <w:pPr>
        <w:ind w:left="720" w:hanging="360"/>
        <w:numPr>
          <w:ilvl w:val="0"/>
          <w:numId w:val="6"/>
        </w:numPr>
        <w:spacing w:after="0" w:afterAutospacing="0" w:before="24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Check spelling and grammar before finalizing any documents.</w:t>
      </w:r>
    </w:p>
    <w:p>
      <w:pPr>
        <w:ind w:left="720" w:hanging="360"/>
        <w:numPr>
          <w:ilvl w:val="0"/>
          <w:numId w:val="6"/>
        </w:numPr>
        <w:spacing w:after="0" w:afterAutospacing="0" w:before="0" w:beforeAutospacing="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Apply the grammatical rules of the respective country.</w:t>
      </w:r>
    </w:p>
    <w:p>
      <w:pPr>
        <w:ind w:left="1440" w:hanging="360"/>
        <w:numPr>
          <w:ilvl w:val="1"/>
          <w:numId w:val="6"/>
        </w:numPr>
        <w:spacing w:after="0" w:afterAutospacing="0" w:before="0" w:beforeAutospacing="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English: Subject-verb agreement, tense consistency, article use, active voice, etc.</w:t>
      </w:r>
    </w:p>
    <w:p>
      <w:pPr>
        <w:ind w:left="1440" w:hanging="360"/>
        <w:numPr>
          <w:ilvl w:val="1"/>
          <w:numId w:val="6"/>
        </w:numPr>
        <w:spacing w:after="0" w:afterAutospacing="0" w:before="0" w:beforeAutospacing="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Korean: Subject-predicate agreement, honorifics, spacing, etc.</w:t>
      </w:r>
    </w:p>
    <w:p>
      <w:pPr>
        <w:ind w:left="720" w:hanging="360"/>
        <w:numPr>
          <w:ilvl w:val="0"/>
          <w:numId w:val="6"/>
        </w:numPr>
        <w:spacing w:after="240" w:before="0" w:beforeAutospacing="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If the text sounds awkward when read aloud, revise it to make it sound natural.</w:t>
      </w:r>
    </w:p>
    <w:p>
      <w:pPr>
        <w:ind w:left="0" w:firstLine="0"/>
        <w:spacing w:after="240" w:before="240" w:line="360" w:lineRule="auto"/>
        <w:rPr>
          <w:sz w:val="24"/>
          <w:szCs w:val="24"/>
        </w:rPr>
      </w:pPr>
    </w:p>
    <w:p>
      <w:pPr>
        <w:ind w:left="0" w:firstLine="0"/>
        <w:spacing w:after="240" w:before="24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7. Consistent Language and Tone</w:t>
      </w:r>
    </w:p>
    <w:p>
      <w:pPr>
        <w:ind w:left="720" w:hanging="360"/>
        <w:numPr>
          <w:ilvl w:val="0"/>
          <w:numId w:val="7"/>
        </w:numPr>
        <w:spacing w:after="0" w:afterAutospacing="0" w:before="24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Maintain a tone suitable for the nature of each document.</w:t>
      </w:r>
    </w:p>
    <w:p>
      <w:pPr>
        <w:ind w:left="720" w:hanging="360"/>
        <w:numPr>
          <w:ilvl w:val="0"/>
          <w:numId w:val="7"/>
        </w:numPr>
        <w:spacing w:after="240" w:before="0" w:beforeAutospacing="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 xml:space="preserve">Use the same word consistently. </w:t>
      </w:r>
    </w:p>
    <w:p>
      <w:pPr>
        <w:spacing w:after="240" w:before="240" w:line="360" w:lineRule="auto"/>
        <w:rPr>
          <w:sz w:val="24"/>
          <w:szCs w:val="24"/>
          <w:u w:val="single" w:color="auto"/>
        </w:rPr>
      </w:pPr>
      <w:r>
        <w:rPr>
          <w:b/>
          <w:sz w:val="24"/>
          <w:szCs w:val="24"/>
          <w:u w:val="single" w:color="auto"/>
          <w:rtl w:val="off"/>
        </w:rPr>
        <w:t>Information Layout</w:t>
      </w:r>
      <w:r>
        <w:rPr>
          <w:sz w:val="24"/>
          <w:szCs w:val="24"/>
          <w:u w:val="single" w:color="auto"/>
          <w:rtl w:val="off"/>
        </w:rPr>
        <w:t xml:space="preserve"> </w:t>
      </w:r>
    </w:p>
    <w:p>
      <w:pPr>
        <w:spacing w:after="240" w:before="24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8. Clear Information Delivery</w:t>
      </w:r>
    </w:p>
    <w:p>
      <w:pPr>
        <w:ind w:left="720" w:hanging="360"/>
        <w:numPr>
          <w:ilvl w:val="0"/>
          <w:numId w:val="8"/>
        </w:numPr>
        <w:spacing w:after="0" w:afterAutospacing="0" w:before="24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Ensure key information is easy to find and read.</w:t>
      </w:r>
    </w:p>
    <w:p>
      <w:pPr>
        <w:ind w:left="720" w:hanging="360"/>
        <w:numPr>
          <w:ilvl w:val="0"/>
          <w:numId w:val="8"/>
        </w:numPr>
        <w:spacing w:after="0" w:afterAutospacing="0" w:before="0" w:beforeAutospacing="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Provide an overview before starting the main text.</w:t>
      </w:r>
    </w:p>
    <w:p>
      <w:pPr>
        <w:ind w:left="720" w:hanging="360"/>
        <w:numPr>
          <w:ilvl w:val="0"/>
          <w:numId w:val="8"/>
        </w:numPr>
        <w:spacing w:after="0" w:afterAutospacing="0" w:before="0" w:beforeAutospacing="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Arrange information to maintain a logical flow.</w:t>
      </w:r>
    </w:p>
    <w:p>
      <w:pPr>
        <w:ind w:left="720" w:hanging="360"/>
        <w:numPr>
          <w:ilvl w:val="0"/>
          <w:numId w:val="8"/>
        </w:numPr>
        <w:spacing w:after="0" w:afterAutospacing="0" w:before="0" w:beforeAutospacing="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Use bullet points for listing information.</w:t>
      </w:r>
    </w:p>
    <w:p>
      <w:pPr>
        <w:ind w:left="720" w:hanging="360"/>
        <w:numPr>
          <w:ilvl w:val="0"/>
          <w:numId w:val="8"/>
        </w:numPr>
        <w:spacing w:after="0" w:afterAutospacing="0" w:before="0" w:beforeAutospacing="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Provide understandable examples and evidence.</w:t>
      </w:r>
    </w:p>
    <w:p>
      <w:pPr>
        <w:ind w:left="720" w:hanging="360"/>
        <w:numPr>
          <w:ilvl w:val="0"/>
          <w:numId w:val="8"/>
        </w:numPr>
        <w:spacing w:after="240" w:before="0" w:beforeAutospacing="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Use links for external information rather than lengthy explanations.</w:t>
      </w:r>
    </w:p>
    <w:p>
      <w:pPr>
        <w:spacing w:after="240" w:before="240" w:line="360" w:lineRule="auto"/>
        <w:rPr>
          <w:sz w:val="24"/>
          <w:szCs w:val="24"/>
          <w:u w:val="single" w:color="auto"/>
        </w:rPr>
      </w:pPr>
      <w:r>
        <w:rPr>
          <w:b/>
          <w:sz w:val="24"/>
          <w:szCs w:val="24"/>
          <w:u w:val="single" w:color="auto"/>
          <w:rtl w:val="off"/>
        </w:rPr>
        <w:t>Diversity</w:t>
      </w:r>
      <w:r>
        <w:rPr>
          <w:sz w:val="24"/>
          <w:szCs w:val="24"/>
          <w:u w:val="single" w:color="auto"/>
          <w:rtl w:val="off"/>
        </w:rPr>
        <w:t xml:space="preserve"> </w:t>
      </w:r>
    </w:p>
    <w:p>
      <w:pPr>
        <w:spacing w:after="240" w:before="24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9. Neutral Tone</w:t>
      </w:r>
    </w:p>
    <w:p>
      <w:pPr>
        <w:ind w:left="720" w:hanging="360"/>
        <w:numPr>
          <w:ilvl w:val="0"/>
          <w:numId w:val="9"/>
        </w:numPr>
        <w:spacing w:after="0" w:afterAutospacing="0" w:before="240" w:line="360" w:lineRule="auto"/>
        <w:rPr>
          <w:sz w:val="24"/>
          <w:szCs w:val="24"/>
        </w:rPr>
      </w:pPr>
      <w:r>
        <w:drawing>
          <wp:anchor distT="0" distB="0" distL="114300" distR="114300" behindDoc="0" locked="0" layoutInCell="1" simplePos="0" relativeHeight="251663360" allowOverlap="1" hidden="0">
            <wp:simplePos x="0" y="0"/>
            <wp:positionH relativeFrom="column">
              <wp:posOffset>5421686</wp:posOffset>
            </wp:positionH>
            <wp:positionV relativeFrom="paragraph">
              <wp:posOffset>-894777</wp:posOffset>
            </wp:positionV>
            <wp:extent cx="1207001" cy="1103684"/>
            <wp:effectExtent l="0" t="0" r="0" b="0"/>
            <wp:wrapNone/>
            <wp:docPr id="1028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"/>
                    <pic:cNvPicPr>
                      <a:picLocks noUngrp="1"/>
                    </pic:cNvPicPr>
                  </pic:nvPicPr>
                  <pic:blipFill>
                    <a:blip r:embed="rId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7001" cy="1103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szCs w:val="24"/>
          <w:rtl w:val="off"/>
        </w:rPr>
        <w:t>Convey information neutrally, without reflecting the information provider's values, nationality, or culture.</w:t>
      </w:r>
    </w:p>
    <w:p>
      <w:pPr>
        <w:ind w:left="1440" w:hanging="360"/>
        <w:numPr>
          <w:ilvl w:val="1"/>
          <w:numId w:val="9"/>
        </w:numPr>
        <w:spacing w:after="240" w:before="0" w:beforeAutospacing="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Use "Korea" instead of "Our country."</w:t>
      </w:r>
    </w:p>
    <w:p>
      <w:pPr>
        <w:spacing w:after="240" w:before="24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 xml:space="preserve">10. </w:t>
      </w:r>
      <w:r>
        <w:rPr>
          <w:sz w:val="24"/>
          <w:szCs w:val="24"/>
          <w:rtl w:val="off"/>
        </w:rPr>
        <w:t>Respectful Words</w:t>
      </w:r>
    </w:p>
    <w:p>
      <w:pPr>
        <w:ind w:left="720" w:hanging="360"/>
        <w:numPr>
          <w:ilvl w:val="0"/>
          <w:numId w:val="10"/>
        </w:numPr>
        <w:spacing w:after="0" w:afterAutospacing="0" w:before="24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Consider that the same words can be interpreted differently depending on cultural and political backgrounds.</w:t>
      </w:r>
    </w:p>
    <w:p>
      <w:pPr>
        <w:ind w:left="720" w:hanging="360"/>
        <w:numPr>
          <w:ilvl w:val="0"/>
          <w:numId w:val="10"/>
        </w:numPr>
        <w:spacing w:after="240" w:before="0" w:beforeAutospacing="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Use gender-neutral expressions.</w:t>
      </w:r>
    </w:p>
    <w:p>
      <w:pPr>
        <w:spacing w:after="240" w:before="24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 xml:space="preserve">11. </w:t>
      </w:r>
      <w:r>
        <w:rPr>
          <w:sz w:val="24"/>
          <w:szCs w:val="24"/>
          <w:rtl w:val="off"/>
        </w:rPr>
        <w:t>Audience Inclusiveness</w:t>
      </w:r>
    </w:p>
    <w:p>
      <w:pPr>
        <w:ind w:left="720" w:hanging="360"/>
        <w:numPr>
          <w:ilvl w:val="0"/>
          <w:numId w:val="11"/>
        </w:numPr>
        <w:spacing w:after="240" w:before="24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Provide files with braille or audio for people with visual or hearing impairments</w:t>
      </w:r>
      <w:r>
        <w:rPr>
          <w:b/>
          <w:sz w:val="24"/>
          <w:szCs w:val="24"/>
          <w:rtl w:val="off"/>
        </w:rPr>
        <w:t>.</w:t>
      </w:r>
    </w:p>
    <w:p>
      <w:pPr>
        <w:spacing w:after="240" w:before="240" w:line="360" w:lineRule="auto"/>
        <w:rPr>
          <w:sz w:val="24"/>
          <w:szCs w:val="24"/>
          <w:u w:val="single" w:color="auto"/>
        </w:rPr>
      </w:pPr>
      <w:r>
        <w:rPr>
          <w:b/>
          <w:sz w:val="24"/>
          <w:szCs w:val="24"/>
          <w:u w:val="single" w:color="auto"/>
          <w:rtl w:val="off"/>
        </w:rPr>
        <w:t>Images and Symbols</w:t>
      </w:r>
      <w:r>
        <w:rPr>
          <w:sz w:val="24"/>
          <w:szCs w:val="24"/>
          <w:u w:val="single" w:color="auto"/>
          <w:rtl w:val="off"/>
        </w:rPr>
        <w:t xml:space="preserve"> </w:t>
      </w:r>
    </w:p>
    <w:p>
      <w:pPr>
        <w:spacing w:after="240" w:before="24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 xml:space="preserve">12. Use of Images, Symbols, and Diagrams </w:t>
      </w:r>
    </w:p>
    <w:p>
      <w:pPr>
        <w:ind w:left="720" w:hanging="360"/>
        <w:numPr>
          <w:ilvl w:val="0"/>
          <w:numId w:val="12"/>
        </w:numPr>
        <w:spacing w:after="240" w:before="24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Images and symbols should be clear, unambiguous, and relevant to the text.</w:t>
      </w:r>
    </w:p>
    <w:p>
      <w:pPr>
        <w:spacing w:after="240" w:before="240" w:line="360" w:lineRule="auto"/>
        <w:rPr>
          <w:sz w:val="24"/>
          <w:szCs w:val="24"/>
          <w:u w:val="single" w:color="auto"/>
        </w:rPr>
      </w:pPr>
      <w:r>
        <w:rPr>
          <w:b/>
          <w:sz w:val="24"/>
          <w:szCs w:val="24"/>
          <w:u w:val="single" w:color="auto"/>
          <w:rtl w:val="off"/>
        </w:rPr>
        <w:t>Feedback</w:t>
      </w:r>
      <w:r>
        <w:rPr>
          <w:sz w:val="24"/>
          <w:szCs w:val="24"/>
          <w:u w:val="single" w:color="auto"/>
          <w:rtl w:val="off"/>
        </w:rPr>
        <w:t xml:space="preserve"> </w:t>
      </w:r>
    </w:p>
    <w:p>
      <w:pPr>
        <w:spacing w:after="240" w:before="24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 xml:space="preserve">13. Incorporating Feedback </w:t>
      </w:r>
    </w:p>
    <w:p>
      <w:pPr>
        <w:ind w:left="720" w:hanging="360"/>
        <w:numPr>
          <w:ilvl w:val="0"/>
          <w:numId w:val="13"/>
        </w:numPr>
        <w:spacing w:after="0" w:afterAutospacing="0" w:before="24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Obtain feedback from people with low literacy, intellectual disabilities, or refugees for whom the first language is different.</w:t>
      </w:r>
    </w:p>
    <w:p>
      <w:pPr>
        <w:ind w:left="720" w:hanging="360"/>
        <w:numPr>
          <w:ilvl w:val="0"/>
          <w:numId w:val="13"/>
        </w:numPr>
        <w:spacing w:after="240" w:before="0" w:beforeAutospacing="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R</w:t>
      </w:r>
      <w:r>
        <w:rPr>
          <w:sz w:val="24"/>
          <w:szCs w:val="24"/>
          <w:rtl w:val="off"/>
        </w:rPr>
        <w:t>evise the text based on the feedback.</w:t>
      </w:r>
    </w:p>
    <w:p>
      <w:pPr>
        <w:spacing w:after="240" w:before="240" w:line="360" w:lineRule="auto"/>
        <w:rPr>
          <w:sz w:val="24"/>
          <w:szCs w:val="24"/>
          <w:u w:val="single" w:color="auto"/>
        </w:rPr>
      </w:pPr>
      <w:r>
        <w:rPr>
          <w:b/>
          <w:sz w:val="24"/>
          <w:szCs w:val="24"/>
          <w:u w:val="single" w:color="auto"/>
          <w:rtl w:val="off"/>
        </w:rPr>
        <w:t>Accessibility</w:t>
      </w:r>
      <w:r>
        <w:rPr>
          <w:sz w:val="24"/>
          <w:szCs w:val="24"/>
          <w:u w:val="single" w:color="auto"/>
          <w:rtl w:val="off"/>
        </w:rPr>
        <w:t xml:space="preserve"> </w:t>
      </w:r>
    </w:p>
    <w:p>
      <w:pPr>
        <w:spacing w:after="240" w:before="24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 xml:space="preserve">14. Variety in Delivery Methods </w:t>
      </w:r>
    </w:p>
    <w:p>
      <w:pPr>
        <w:ind w:left="720" w:hanging="360"/>
        <w:numPr>
          <w:ilvl w:val="0"/>
          <w:numId w:val="14"/>
        </w:numPr>
        <w:spacing w:after="0" w:afterAutospacing="0" w:before="24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Use various methods to deliver news, such as social media (SNS), websites, and others.</w:t>
      </w:r>
    </w:p>
    <w:p>
      <w:pPr>
        <w:ind w:left="720" w:hanging="360"/>
        <w:numPr>
          <w:ilvl w:val="0"/>
          <w:numId w:val="14"/>
        </w:numPr>
        <w:spacing w:after="0" w:afterAutospacing="0" w:before="0" w:beforeAutospacing="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Select the delivery method based on the purpose of the information.</w:t>
      </w:r>
    </w:p>
    <w:p>
      <w:pPr>
        <w:ind w:left="1440" w:hanging="360"/>
        <w:numPr>
          <w:ilvl w:val="1"/>
          <w:numId w:val="14"/>
        </w:numPr>
        <w:spacing w:after="240" w:before="0" w:beforeAutospacing="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Websites should contain detailed news, while card news should be concise to enhance readability and accessibility.</w:t>
      </w:r>
    </w:p>
    <w:p>
      <w:pPr>
        <w:ind w:left="0" w:firstLine="0"/>
        <w:spacing w:after="240" w:before="24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15. Increasing User Access</w:t>
      </w:r>
    </w:p>
    <w:p>
      <w:pPr>
        <w:ind w:left="720" w:hanging="360"/>
        <w:numPr>
          <w:ilvl w:val="0"/>
          <w:numId w:val="15"/>
        </w:numPr>
        <w:spacing w:after="0" w:afterAutospacing="0" w:before="240" w:line="360" w:lineRule="auto"/>
        <w:rPr>
          <w:sz w:val="24"/>
          <w:szCs w:val="24"/>
        </w:rPr>
      </w:pPr>
      <w:r>
        <w:drawing>
          <wp:anchor distT="0" distB="0" distL="114300" distR="114300" behindDoc="0" locked="0" layoutInCell="1" simplePos="0" relativeHeight="251664384" allowOverlap="1" hidden="0">
            <wp:simplePos x="0" y="0"/>
            <wp:positionH relativeFrom="column">
              <wp:posOffset>5426363</wp:posOffset>
            </wp:positionH>
            <wp:positionV relativeFrom="paragraph">
              <wp:posOffset>-929411</wp:posOffset>
            </wp:positionV>
            <wp:extent cx="1207001" cy="1103684"/>
            <wp:effectExtent l="0" t="0" r="0" b="0"/>
            <wp:wrapNone/>
            <wp:docPr id="1029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"/>
                    <pic:cNvPicPr>
                      <a:picLocks noUngrp="1"/>
                    </pic:cNvPicPr>
                  </pic:nvPicPr>
                  <pic:blipFill>
                    <a:blip r:embed="rId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7001" cy="1103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szCs w:val="24"/>
          <w:rtl w:val="off"/>
        </w:rPr>
        <w:t>Use suggested keywords in search bars to make searches easier.</w:t>
      </w:r>
    </w:p>
    <w:p>
      <w:pPr>
        <w:ind w:left="720" w:hanging="360"/>
        <w:numPr>
          <w:ilvl w:val="0"/>
          <w:numId w:val="15"/>
        </w:numPr>
        <w:spacing w:after="0" w:afterAutospacing="0" w:before="0" w:beforeAutospacing="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Avoid using words or conjunctions that are unrelated to key terms.</w:t>
      </w:r>
    </w:p>
    <w:p>
      <w:pPr>
        <w:ind w:left="720" w:hanging="360"/>
        <w:numPr>
          <w:ilvl w:val="0"/>
          <w:numId w:val="15"/>
        </w:numPr>
        <w:spacing w:after="0" w:afterAutospacing="0" w:before="0" w:beforeAutospacing="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Standardize the spelling of proper nouns in titles and texts.</w:t>
      </w:r>
    </w:p>
    <w:p>
      <w:pPr>
        <w:ind w:left="1440" w:hanging="360"/>
        <w:numPr>
          <w:ilvl w:val="1"/>
          <w:numId w:val="15"/>
        </w:numPr>
        <w:spacing w:after="0" w:afterAutospacing="0" w:before="0" w:beforeAutospacing="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 xml:space="preserve">Different spellings like "Refugee policy", “refugee policy” can confuse searches. Use consistent terms like "refugee policy." </w:t>
      </w:r>
    </w:p>
    <w:p>
      <w:pPr>
        <w:ind w:left="1440" w:hanging="360"/>
        <w:numPr>
          <w:ilvl w:val="1"/>
          <w:numId w:val="15"/>
        </w:numPr>
        <w:spacing w:after="0" w:afterAutospacing="0" w:before="0" w:beforeAutospacing="0" w:line="360" w:lineRule="auto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  <w:rtl w:val="off"/>
        </w:rPr>
        <w:t>If using both Korean and English key terms, standardize them to "난민정책 (Refugee policy)."</w:t>
      </w:r>
    </w:p>
    <w:p>
      <w:pPr>
        <w:ind w:left="720" w:hanging="360"/>
        <w:numPr>
          <w:ilvl w:val="0"/>
          <w:numId w:val="15"/>
        </w:numPr>
        <w:spacing w:after="240" w:before="0" w:beforeAutospacing="0" w:line="360" w:lineRule="auto"/>
        <w:rPr>
          <w:sz w:val="24"/>
          <w:szCs w:val="24"/>
        </w:rPr>
      </w:pPr>
      <w:r>
        <w:rPr>
          <w:sz w:val="24"/>
          <w:szCs w:val="24"/>
          <w:rtl w:val="off"/>
        </w:rPr>
        <w:t>Use hashtags effectively.</w:t>
      </w:r>
    </w:p>
    <w:p>
      <w:pPr>
        <w:jc w:val="right"/>
        <w:spacing w:line="360" w:lineRule="auto"/>
        <w:rPr>
          <w:sz w:val="24"/>
          <w:szCs w:val="24"/>
        </w:rPr>
      </w:pPr>
    </w:p>
    <w:p>
      <w:pPr>
        <w:jc w:val="right"/>
        <w:spacing w:line="360" w:lineRule="auto"/>
        <w:rPr/>
      </w:pPr>
      <w:r>
        <w:rPr>
          <w:sz w:val="24"/>
          <w:szCs w:val="24"/>
          <w:rtl w:val="off"/>
        </w:rPr>
        <w:t xml:space="preserve">Contributors of MAP 1.0 </w:t>
      </w:r>
    </w:p>
    <w:p>
      <w:pPr>
        <w:jc w:val="right"/>
        <w:rPr/>
      </w:pPr>
      <w:r>
        <w:rPr>
          <w:rtl w:val="off"/>
        </w:rPr>
        <w:t xml:space="preserve">Donggyu Hyunbin Jaeyoung Jooyoun Nagyoung Yehyun Youngah </w:t>
      </w:r>
    </w:p>
    <w:p>
      <w:pPr>
        <w:jc w:val="right"/>
        <w:spacing w:line="360" w:lineRule="auto"/>
        <w:rPr>
          <w:sz w:val="24"/>
          <w:szCs w:val="24"/>
        </w:rPr>
      </w:pPr>
    </w:p>
    <w:p>
      <w:pPr>
        <w:jc w:val="right"/>
        <w:spacing w:line="360" w:lineRule="auto"/>
        <w:rPr>
          <w:sz w:val="24"/>
          <w:szCs w:val="24"/>
        </w:rPr>
      </w:pPr>
    </w:p>
    <w:p>
      <w:pPr>
        <w:jc w:val="right"/>
        <w:spacing w:line="360" w:lineRule="auto"/>
        <w:rPr>
          <w:lang/>
          <w:sz w:val="24"/>
          <w:szCs w:val="24"/>
          <w:rtl w:val="off"/>
        </w:rPr>
      </w:pPr>
    </w:p>
    <w:p>
      <w:pPr>
        <w:jc w:val="right"/>
        <w:spacing w:line="360" w:lineRule="auto"/>
        <w:rPr>
          <w:lang/>
          <w:sz w:val="24"/>
          <w:szCs w:val="24"/>
          <w:rtl w:val="off"/>
        </w:rPr>
      </w:pPr>
    </w:p>
    <w:p>
      <w:pPr>
        <w:jc w:val="right"/>
        <w:spacing w:line="360" w:lineRule="auto"/>
        <w:rPr>
          <w:lang/>
          <w:sz w:val="24"/>
          <w:szCs w:val="24"/>
          <w:rtl w:val="off"/>
        </w:rPr>
      </w:pPr>
    </w:p>
    <w:p>
      <w:pPr>
        <w:jc w:val="right"/>
        <w:spacing w:line="360" w:lineRule="auto"/>
        <w:rPr>
          <w:lang/>
          <w:sz w:val="24"/>
          <w:szCs w:val="24"/>
          <w:rtl w:val="off"/>
        </w:rPr>
      </w:pPr>
    </w:p>
    <w:p>
      <w:pPr>
        <w:jc w:val="right"/>
        <w:spacing w:line="360" w:lineRule="auto"/>
        <w:rPr>
          <w:lang/>
          <w:sz w:val="24"/>
          <w:szCs w:val="24"/>
          <w:rtl w:val="off"/>
        </w:rPr>
      </w:pPr>
    </w:p>
    <w:p>
      <w:pPr>
        <w:jc w:val="right"/>
        <w:spacing w:line="360" w:lineRule="auto"/>
        <w:rPr>
          <w:lang/>
          <w:sz w:val="24"/>
          <w:szCs w:val="24"/>
          <w:rtl w:val="off"/>
        </w:rPr>
      </w:pPr>
    </w:p>
    <w:p>
      <w:pPr>
        <w:jc w:val="right"/>
        <w:spacing w:line="360" w:lineRule="auto"/>
        <w:rPr>
          <w:lang/>
          <w:sz w:val="24"/>
          <w:szCs w:val="24"/>
          <w:rtl w:val="off"/>
        </w:rPr>
      </w:pPr>
    </w:p>
    <w:p>
      <w:pPr>
        <w:jc w:val="right"/>
        <w:spacing w:line="360" w:lineRule="auto"/>
        <w:rPr>
          <w:lang/>
          <w:sz w:val="24"/>
          <w:szCs w:val="24"/>
          <w:rtl w:val="off"/>
        </w:rPr>
      </w:pPr>
    </w:p>
    <w:p>
      <w:pPr>
        <w:jc w:val="right"/>
        <w:spacing w:line="360" w:lineRule="auto"/>
        <w:rPr>
          <w:lang/>
          <w:sz w:val="24"/>
          <w:szCs w:val="24"/>
          <w:rtl w:val="off"/>
        </w:rPr>
      </w:pPr>
    </w:p>
    <w:p>
      <w:pPr>
        <w:jc w:val="right"/>
        <w:spacing w:line="360" w:lineRule="auto"/>
        <w:rPr>
          <w:lang/>
          <w:sz w:val="24"/>
          <w:szCs w:val="24"/>
          <w:rtl w:val="off"/>
        </w:rPr>
      </w:pPr>
    </w:p>
    <w:p>
      <w:pPr>
        <w:jc w:val="right"/>
        <w:spacing w:line="360" w:lineRule="auto"/>
        <w:rPr>
          <w:lang/>
          <w:sz w:val="24"/>
          <w:szCs w:val="24"/>
          <w:rtl w:val="off"/>
        </w:rPr>
      </w:pPr>
    </w:p>
    <w:p>
      <w:pPr>
        <w:jc w:val="right"/>
        <w:spacing w:line="360" w:lineRule="auto"/>
        <w:rPr>
          <w:sz w:val="24"/>
          <w:szCs w:val="24"/>
        </w:rPr>
      </w:pPr>
    </w:p>
    <w:p>
      <w:pPr>
        <w:jc w:val="left"/>
        <w:spacing w:line="360" w:lineRule="auto"/>
        <w:rPr>
          <w:sz w:val="24"/>
          <w:szCs w:val="24"/>
        </w:rPr>
      </w:pPr>
      <w:r>
        <w:rPr>
          <w:b/>
          <w:bCs/>
          <w:sz w:val="30"/>
          <w:szCs w:val="30"/>
          <w:rtl w:val="off"/>
        </w:rPr>
        <w:t xml:space="preserve">Reference </w:t>
      </w:r>
    </w:p>
    <w:p>
      <w:pPr>
        <w:jc w:val="left"/>
        <w:rPr/>
      </w:pPr>
      <w:r>
        <w:fldChar w:fldCharType="begin"/>
      </w:r>
      <w:r>
        <w:instrText xml:space="preserve"> HYPERLINK "https://easy-to-read.eu/european-standards/" </w:instrText>
      </w:r>
      <w:r>
        <w:fldChar w:fldCharType="separate"/>
      </w:r>
      <w:r>
        <w:rPr>
          <w:color w:val="1155CC"/>
          <w:u w:val="single" w:color="auto"/>
          <w:rtl w:val="off"/>
        </w:rPr>
        <w:t>https://easy-to-read.eu/european-standards/</w:t>
      </w:r>
      <w:r>
        <w:fldChar w:fldCharType="end"/>
      </w:r>
    </w:p>
    <w:p>
      <w:pPr>
        <w:jc w:val="left"/>
        <w:rPr/>
      </w:pPr>
      <w:r>
        <w:fldChar w:fldCharType="begin"/>
      </w:r>
      <w:r>
        <w:instrText xml:space="preserve"> HYPERLINK "https://www.inclusion-europe.eu/easy-to-read-standards-guidelines/" </w:instrText>
      </w:r>
      <w:r>
        <w:fldChar w:fldCharType="separate"/>
      </w:r>
      <w:r>
        <w:rPr>
          <w:color w:val="1155CC"/>
          <w:u w:val="single" w:color="auto"/>
          <w:rtl w:val="off"/>
        </w:rPr>
        <w:t>https://www.inclusion-europe.eu/easy-to-read-standards-guidelines/</w:t>
      </w:r>
      <w:r>
        <w:fldChar w:fldCharType="end"/>
      </w:r>
    </w:p>
    <w:p>
      <w:pPr>
        <w:jc w:val="left"/>
        <w:rPr/>
      </w:pPr>
      <w:r>
        <w:fldChar w:fldCharType="begin"/>
      </w:r>
      <w:r>
        <w:instrText xml:space="preserve"> HYPERLINK "https://buly.kr/7m9UlZG" </w:instrText>
      </w:r>
      <w:r>
        <w:fldChar w:fldCharType="separate"/>
      </w:r>
      <w:r>
        <w:rPr>
          <w:color w:val="1155CC"/>
          <w:u w:val="single" w:color="auto"/>
          <w:rtl w:val="off"/>
        </w:rPr>
        <w:t>https://buly.kr/7m9UlZG</w:t>
      </w:r>
      <w:r>
        <w:fldChar w:fldCharType="end"/>
      </w:r>
    </w:p>
    <w:p>
      <w:pPr>
        <w:jc w:val="left"/>
        <w:rPr>
          <w:sz w:val="24"/>
          <w:szCs w:val="24"/>
        </w:rPr>
      </w:pPr>
      <w:r>
        <w:rPr>
          <w:color w:val="1D1C1D"/>
          <w:sz w:val="23"/>
          <w:szCs w:val="23"/>
          <w:rtl w:val="off"/>
        </w:rPr>
        <w:t>National Institute for Health and Care Research(NIHR),  "A guide to creating inclusive content and language", September 2021</w:t>
      </w:r>
    </w:p>
    <w:sectPr>
      <w:pgSz w:w="11909" w:h="16834"/>
      <w:pgMar w:top="1440" w:right="1440" w:bottom="1440" w:left="1440" w:header="720" w:footer="720" w:gutter="0"/>
      <w:cols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 Unicode MS">
    <w:panose1 w:val="020B0604020202020204"/>
    <w:family w:val="Arial Unicode MS"/>
    <w:charset w:val="00"/>
    <w:notTrueType w:val="false"/>
    <w:sig w:usb0="7FFFFFFF" w:usb1="7FFFFFFF" w:usb2="0000003F" w:usb3="00000001" w:csb0="603F01FF" w:csb1="7FFFFFFF"/>
  </w:font>
  <w:font w:name="Arial">
    <w:panose1 w:val="020B0604020202020204"/>
    <w:family w:val="Arial"/>
    <w:charset w:val="00"/>
    <w:notTrueType w:val="false"/>
    <w:sig w:usb0="7FFFFFFF" w:usb1="7FFFFFFF" w:usb2="00000009" w:usb3="00000001" w:csb0="400001FF" w:csb1="7FFFFFFF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7bffebe0"/>
    <w:multiLevelType w:val="singleLevel"/>
    <w:lvl w:ilvl="0">
      <w:start w:val="1"/>
      <w:lvlText w:val="%1)"/>
      <w:lvlJc w:val="left"/>
      <w:pPr>
        <w:ind w:left="720" w:hanging="360"/>
      </w:pPr>
      <w:rPr>
        <w:u w:val="none" w:color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 w:color="auto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 w:color="auto"/>
      </w:rPr>
    </w:lvl>
    <w:lvl w:ilvl="3">
      <w:start w:val="1"/>
      <w:lvlText w:val="(%4)"/>
      <w:lvlJc w:val="left"/>
      <w:pPr>
        <w:ind w:left="2880" w:hanging="360"/>
      </w:pPr>
      <w:rPr>
        <w:u w:val="none" w:color="auto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 w:color="auto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 w:color="auto"/>
      </w:rPr>
    </w:lvl>
    <w:lvl w:ilvl="6">
      <w:start w:val="1"/>
      <w:lvlText w:val="%7."/>
      <w:lvlJc w:val="left"/>
      <w:pPr>
        <w:ind w:left="5040" w:hanging="360"/>
      </w:pPr>
      <w:rPr>
        <w:u w:val="none" w:color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 w:color="auto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 w:color="auto"/>
      </w:rPr>
    </w:lvl>
  </w:abstractNum>
  <w:abstractNum w:abstractNumId="1">
    <w:nsid w:val="ffffbf10"/>
    <w:multiLevelType w:val="singleLevel"/>
    <w:lvl w:ilvl="0">
      <w:start w:val="1"/>
      <w:lvlText w:val="%1)"/>
      <w:lvlJc w:val="left"/>
      <w:pPr>
        <w:ind w:left="720" w:hanging="360"/>
      </w:pPr>
      <w:rPr>
        <w:u w:val="none" w:color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 w:color="auto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 w:color="auto"/>
      </w:rPr>
    </w:lvl>
    <w:lvl w:ilvl="3">
      <w:start w:val="1"/>
      <w:lvlText w:val="(%4)"/>
      <w:lvlJc w:val="left"/>
      <w:pPr>
        <w:ind w:left="2880" w:hanging="360"/>
      </w:pPr>
      <w:rPr>
        <w:u w:val="none" w:color="auto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 w:color="auto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 w:color="auto"/>
      </w:rPr>
    </w:lvl>
    <w:lvl w:ilvl="6">
      <w:start w:val="1"/>
      <w:lvlText w:val="%7."/>
      <w:lvlJc w:val="left"/>
      <w:pPr>
        <w:ind w:left="5040" w:hanging="360"/>
      </w:pPr>
      <w:rPr>
        <w:u w:val="none" w:color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 w:color="auto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 w:color="auto"/>
      </w:rPr>
    </w:lvl>
  </w:abstractNum>
  <w:abstractNum w:abstractNumId="2">
    <w:nsid w:val="fffffa60"/>
    <w:multiLevelType w:val="singleLevel"/>
    <w:lvl w:ilvl="0">
      <w:start w:val="1"/>
      <w:lvlText w:val="%1)"/>
      <w:lvlJc w:val="left"/>
      <w:pPr>
        <w:ind w:left="720" w:hanging="360"/>
      </w:pPr>
      <w:rPr>
        <w:u w:val="none" w:color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 w:color="auto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 w:color="auto"/>
      </w:rPr>
    </w:lvl>
    <w:lvl w:ilvl="3">
      <w:start w:val="1"/>
      <w:lvlText w:val="(%4)"/>
      <w:lvlJc w:val="left"/>
      <w:pPr>
        <w:ind w:left="2880" w:hanging="360"/>
      </w:pPr>
      <w:rPr>
        <w:u w:val="none" w:color="auto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 w:color="auto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 w:color="auto"/>
      </w:rPr>
    </w:lvl>
    <w:lvl w:ilvl="6">
      <w:start w:val="1"/>
      <w:lvlText w:val="%7."/>
      <w:lvlJc w:val="left"/>
      <w:pPr>
        <w:ind w:left="5040" w:hanging="360"/>
      </w:pPr>
      <w:rPr>
        <w:u w:val="none" w:color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 w:color="auto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 w:color="auto"/>
      </w:rPr>
    </w:lvl>
  </w:abstractNum>
  <w:abstractNum w:abstractNumId="3">
    <w:nsid w:val="fffff150"/>
    <w:multiLevelType w:val="singleLevel"/>
    <w:lvl w:ilvl="0">
      <w:start w:val="1"/>
      <w:lvlText w:val="%1)"/>
      <w:lvlJc w:val="left"/>
      <w:pPr>
        <w:ind w:left="720" w:hanging="360"/>
      </w:pPr>
      <w:rPr>
        <w:u w:val="none" w:color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 w:color="auto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 w:color="auto"/>
      </w:rPr>
    </w:lvl>
    <w:lvl w:ilvl="3">
      <w:start w:val="1"/>
      <w:lvlText w:val="(%4)"/>
      <w:lvlJc w:val="left"/>
      <w:pPr>
        <w:ind w:left="2880" w:hanging="360"/>
      </w:pPr>
      <w:rPr>
        <w:u w:val="none" w:color="auto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 w:color="auto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 w:color="auto"/>
      </w:rPr>
    </w:lvl>
    <w:lvl w:ilvl="6">
      <w:start w:val="1"/>
      <w:lvlText w:val="%7."/>
      <w:lvlJc w:val="left"/>
      <w:pPr>
        <w:ind w:left="5040" w:hanging="360"/>
      </w:pPr>
      <w:rPr>
        <w:u w:val="none" w:color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 w:color="auto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 w:color="auto"/>
      </w:rPr>
    </w:lvl>
  </w:abstractNum>
  <w:abstractNum w:abstractNumId="4">
    <w:nsid w:val="6fdfd8b0"/>
    <w:multiLevelType w:val="singleLevel"/>
    <w:lvl w:ilvl="0">
      <w:start w:val="1"/>
      <w:lvlText w:val="%1)"/>
      <w:lvlJc w:val="left"/>
      <w:pPr>
        <w:ind w:left="720" w:hanging="360"/>
      </w:pPr>
      <w:rPr>
        <w:u w:val="none" w:color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 w:color="auto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 w:color="auto"/>
      </w:rPr>
    </w:lvl>
    <w:lvl w:ilvl="3">
      <w:start w:val="1"/>
      <w:lvlText w:val="(%4)"/>
      <w:lvlJc w:val="left"/>
      <w:pPr>
        <w:ind w:left="2880" w:hanging="360"/>
      </w:pPr>
      <w:rPr>
        <w:u w:val="none" w:color="auto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 w:color="auto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 w:color="auto"/>
      </w:rPr>
    </w:lvl>
    <w:lvl w:ilvl="6">
      <w:start w:val="1"/>
      <w:lvlText w:val="%7."/>
      <w:lvlJc w:val="left"/>
      <w:pPr>
        <w:ind w:left="5040" w:hanging="360"/>
      </w:pPr>
      <w:rPr>
        <w:u w:val="none" w:color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 w:color="auto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 w:color="auto"/>
      </w:rPr>
    </w:lvl>
  </w:abstractNum>
  <w:abstractNum w:abstractNumId="5">
    <w:nsid w:val="dffff680"/>
    <w:multiLevelType w:val="singleLevel"/>
    <w:lvl w:ilvl="0">
      <w:start w:val="1"/>
      <w:lvlText w:val="%1)"/>
      <w:lvlJc w:val="left"/>
      <w:pPr>
        <w:ind w:left="720" w:hanging="360"/>
      </w:pPr>
      <w:rPr>
        <w:u w:val="none" w:color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 w:color="auto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 w:color="auto"/>
      </w:rPr>
    </w:lvl>
    <w:lvl w:ilvl="3">
      <w:start w:val="1"/>
      <w:lvlText w:val="(%4)"/>
      <w:lvlJc w:val="left"/>
      <w:pPr>
        <w:ind w:left="2880" w:hanging="360"/>
      </w:pPr>
      <w:rPr>
        <w:u w:val="none" w:color="auto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 w:color="auto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 w:color="auto"/>
      </w:rPr>
    </w:lvl>
    <w:lvl w:ilvl="6">
      <w:start w:val="1"/>
      <w:lvlText w:val="%7."/>
      <w:lvlJc w:val="left"/>
      <w:pPr>
        <w:ind w:left="5040" w:hanging="360"/>
      </w:pPr>
      <w:rPr>
        <w:u w:val="none" w:color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 w:color="auto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 w:color="auto"/>
      </w:rPr>
    </w:lvl>
  </w:abstractNum>
  <w:abstractNum w:abstractNumId="6">
    <w:nsid w:val="fbfffff0"/>
    <w:multiLevelType w:val="singleLevel"/>
    <w:lvl w:ilvl="0">
      <w:start w:val="1"/>
      <w:lvlText w:val="%1)"/>
      <w:lvlJc w:val="left"/>
      <w:pPr>
        <w:ind w:left="720" w:hanging="360"/>
      </w:pPr>
      <w:rPr>
        <w:u w:val="none" w:color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 w:color="auto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 w:color="auto"/>
      </w:rPr>
    </w:lvl>
    <w:lvl w:ilvl="3">
      <w:start w:val="1"/>
      <w:lvlText w:val="(%4)"/>
      <w:lvlJc w:val="left"/>
      <w:pPr>
        <w:ind w:left="2880" w:hanging="360"/>
      </w:pPr>
      <w:rPr>
        <w:u w:val="none" w:color="auto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 w:color="auto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 w:color="auto"/>
      </w:rPr>
    </w:lvl>
    <w:lvl w:ilvl="6">
      <w:start w:val="1"/>
      <w:lvlText w:val="%7."/>
      <w:lvlJc w:val="left"/>
      <w:pPr>
        <w:ind w:left="5040" w:hanging="360"/>
      </w:pPr>
      <w:rPr>
        <w:u w:val="none" w:color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 w:color="auto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 w:color="auto"/>
      </w:rPr>
    </w:lvl>
  </w:abstractNum>
  <w:abstractNum w:abstractNumId="7">
    <w:nsid w:val="7fcff690"/>
    <w:multiLevelType w:val="singleLevel"/>
    <w:lvl w:ilvl="0">
      <w:start w:val="1"/>
      <w:lvlText w:val="%1)"/>
      <w:lvlJc w:val="left"/>
      <w:pPr>
        <w:ind w:left="720" w:hanging="360"/>
      </w:pPr>
      <w:rPr>
        <w:u w:val="none" w:color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 w:color="auto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 w:color="auto"/>
      </w:rPr>
    </w:lvl>
    <w:lvl w:ilvl="3">
      <w:start w:val="1"/>
      <w:lvlText w:val="(%4)"/>
      <w:lvlJc w:val="left"/>
      <w:pPr>
        <w:ind w:left="2880" w:hanging="360"/>
      </w:pPr>
      <w:rPr>
        <w:u w:val="none" w:color="auto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 w:color="auto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 w:color="auto"/>
      </w:rPr>
    </w:lvl>
    <w:lvl w:ilvl="6">
      <w:start w:val="1"/>
      <w:lvlText w:val="%7."/>
      <w:lvlJc w:val="left"/>
      <w:pPr>
        <w:ind w:left="5040" w:hanging="360"/>
      </w:pPr>
      <w:rPr>
        <w:u w:val="none" w:color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 w:color="auto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 w:color="auto"/>
      </w:rPr>
    </w:lvl>
  </w:abstractNum>
  <w:abstractNum w:abstractNumId="8">
    <w:nsid w:val="ffffff20"/>
    <w:multiLevelType w:val="singleLevel"/>
    <w:lvl w:ilvl="0">
      <w:start w:val="1"/>
      <w:lvlText w:val="%1)"/>
      <w:lvlJc w:val="left"/>
      <w:pPr>
        <w:ind w:left="720" w:hanging="360"/>
      </w:pPr>
      <w:rPr>
        <w:u w:val="none" w:color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 w:color="auto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 w:color="auto"/>
      </w:rPr>
    </w:lvl>
    <w:lvl w:ilvl="3">
      <w:start w:val="1"/>
      <w:lvlText w:val="(%4)"/>
      <w:lvlJc w:val="left"/>
      <w:pPr>
        <w:ind w:left="2880" w:hanging="360"/>
      </w:pPr>
      <w:rPr>
        <w:u w:val="none" w:color="auto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 w:color="auto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 w:color="auto"/>
      </w:rPr>
    </w:lvl>
    <w:lvl w:ilvl="6">
      <w:start w:val="1"/>
      <w:lvlText w:val="%7."/>
      <w:lvlJc w:val="left"/>
      <w:pPr>
        <w:ind w:left="5040" w:hanging="360"/>
      </w:pPr>
      <w:rPr>
        <w:u w:val="none" w:color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 w:color="auto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 w:color="auto"/>
      </w:rPr>
    </w:lvl>
  </w:abstractNum>
  <w:abstractNum w:abstractNumId="9">
    <w:nsid w:val="fffdebb0"/>
    <w:multiLevelType w:val="singleLevel"/>
    <w:lvl w:ilvl="0">
      <w:start w:val="1"/>
      <w:lvlText w:val="%1)"/>
      <w:lvlJc w:val="left"/>
      <w:pPr>
        <w:ind w:left="720" w:hanging="360"/>
      </w:pPr>
      <w:rPr>
        <w:u w:val="none" w:color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 w:color="auto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 w:color="auto"/>
      </w:rPr>
    </w:lvl>
    <w:lvl w:ilvl="3">
      <w:start w:val="1"/>
      <w:lvlText w:val="(%4)"/>
      <w:lvlJc w:val="left"/>
      <w:pPr>
        <w:ind w:left="2880" w:hanging="360"/>
      </w:pPr>
      <w:rPr>
        <w:u w:val="none" w:color="auto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 w:color="auto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 w:color="auto"/>
      </w:rPr>
    </w:lvl>
    <w:lvl w:ilvl="6">
      <w:start w:val="1"/>
      <w:lvlText w:val="%7."/>
      <w:lvlJc w:val="left"/>
      <w:pPr>
        <w:ind w:left="5040" w:hanging="360"/>
      </w:pPr>
      <w:rPr>
        <w:u w:val="none" w:color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 w:color="auto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 w:color="auto"/>
      </w:rPr>
    </w:lvl>
  </w:abstractNum>
  <w:abstractNum w:abstractNumId="10">
    <w:nsid w:val="ff7ffb60"/>
    <w:multiLevelType w:val="singleLevel"/>
    <w:lvl w:ilvl="0">
      <w:start w:val="1"/>
      <w:lvlText w:val="%1)"/>
      <w:lvlJc w:val="left"/>
      <w:pPr>
        <w:ind w:left="720" w:hanging="360"/>
      </w:pPr>
      <w:rPr>
        <w:u w:val="none" w:color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 w:color="auto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 w:color="auto"/>
      </w:rPr>
    </w:lvl>
    <w:lvl w:ilvl="3">
      <w:start w:val="1"/>
      <w:lvlText w:val="(%4)"/>
      <w:lvlJc w:val="left"/>
      <w:pPr>
        <w:ind w:left="2880" w:hanging="360"/>
      </w:pPr>
      <w:rPr>
        <w:u w:val="none" w:color="auto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 w:color="auto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 w:color="auto"/>
      </w:rPr>
    </w:lvl>
    <w:lvl w:ilvl="6">
      <w:start w:val="1"/>
      <w:lvlText w:val="%7."/>
      <w:lvlJc w:val="left"/>
      <w:pPr>
        <w:ind w:left="5040" w:hanging="360"/>
      </w:pPr>
      <w:rPr>
        <w:u w:val="none" w:color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 w:color="auto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 w:color="auto"/>
      </w:rPr>
    </w:lvl>
  </w:abstractNum>
  <w:abstractNum w:abstractNumId="11">
    <w:nsid w:val="ff7ffed0"/>
    <w:multiLevelType w:val="singleLevel"/>
    <w:lvl w:ilvl="0">
      <w:start w:val="1"/>
      <w:lvlText w:val="%1)"/>
      <w:lvlJc w:val="left"/>
      <w:pPr>
        <w:ind w:left="720" w:hanging="360"/>
      </w:pPr>
      <w:rPr>
        <w:u w:val="none" w:color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 w:color="auto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 w:color="auto"/>
      </w:rPr>
    </w:lvl>
    <w:lvl w:ilvl="3">
      <w:start w:val="1"/>
      <w:lvlText w:val="(%4)"/>
      <w:lvlJc w:val="left"/>
      <w:pPr>
        <w:ind w:left="2880" w:hanging="360"/>
      </w:pPr>
      <w:rPr>
        <w:u w:val="none" w:color="auto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 w:color="auto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 w:color="auto"/>
      </w:rPr>
    </w:lvl>
    <w:lvl w:ilvl="6">
      <w:start w:val="1"/>
      <w:lvlText w:val="%7."/>
      <w:lvlJc w:val="left"/>
      <w:pPr>
        <w:ind w:left="5040" w:hanging="360"/>
      </w:pPr>
      <w:rPr>
        <w:u w:val="none" w:color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 w:color="auto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 w:color="auto"/>
      </w:rPr>
    </w:lvl>
  </w:abstractNum>
  <w:abstractNum w:abstractNumId="12">
    <w:nsid w:val="fbff37c0"/>
    <w:multiLevelType w:val="singleLevel"/>
    <w:lvl w:ilvl="0">
      <w:start w:val="1"/>
      <w:lvlText w:val="%1)"/>
      <w:lvlJc w:val="left"/>
      <w:pPr>
        <w:ind w:left="720" w:hanging="360"/>
      </w:pPr>
      <w:rPr>
        <w:u w:val="none" w:color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 w:color="auto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 w:color="auto"/>
      </w:rPr>
    </w:lvl>
    <w:lvl w:ilvl="3">
      <w:start w:val="1"/>
      <w:lvlText w:val="(%4)"/>
      <w:lvlJc w:val="left"/>
      <w:pPr>
        <w:ind w:left="2880" w:hanging="360"/>
      </w:pPr>
      <w:rPr>
        <w:u w:val="none" w:color="auto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 w:color="auto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 w:color="auto"/>
      </w:rPr>
    </w:lvl>
    <w:lvl w:ilvl="6">
      <w:start w:val="1"/>
      <w:lvlText w:val="%7."/>
      <w:lvlJc w:val="left"/>
      <w:pPr>
        <w:ind w:left="5040" w:hanging="360"/>
      </w:pPr>
      <w:rPr>
        <w:u w:val="none" w:color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 w:color="auto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 w:color="auto"/>
      </w:rPr>
    </w:lvl>
  </w:abstractNum>
  <w:abstractNum w:abstractNumId="13">
    <w:nsid w:val="e7fffb20"/>
    <w:multiLevelType w:val="singleLevel"/>
    <w:lvl w:ilvl="0">
      <w:start w:val="1"/>
      <w:lvlText w:val="%1)"/>
      <w:lvlJc w:val="left"/>
      <w:pPr>
        <w:ind w:left="720" w:hanging="360"/>
      </w:pPr>
      <w:rPr>
        <w:u w:val="none" w:color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 w:color="auto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 w:color="auto"/>
      </w:rPr>
    </w:lvl>
    <w:lvl w:ilvl="3">
      <w:start w:val="1"/>
      <w:lvlText w:val="(%4)"/>
      <w:lvlJc w:val="left"/>
      <w:pPr>
        <w:ind w:left="2880" w:hanging="360"/>
      </w:pPr>
      <w:rPr>
        <w:u w:val="none" w:color="auto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 w:color="auto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 w:color="auto"/>
      </w:rPr>
    </w:lvl>
    <w:lvl w:ilvl="6">
      <w:start w:val="1"/>
      <w:lvlText w:val="%7."/>
      <w:lvlJc w:val="left"/>
      <w:pPr>
        <w:ind w:left="5040" w:hanging="360"/>
      </w:pPr>
      <w:rPr>
        <w:u w:val="none" w:color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 w:color="auto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 w:color="auto"/>
      </w:rPr>
    </w:lvl>
  </w:abstractNum>
  <w:abstractNum w:abstractNumId="14">
    <w:nsid w:val="ffeb7f40"/>
    <w:multiLevelType w:val="singleLevel"/>
    <w:lvl w:ilvl="0">
      <w:start w:val="1"/>
      <w:lvlText w:val="%1)"/>
      <w:lvlJc w:val="left"/>
      <w:pPr>
        <w:ind w:left="720" w:hanging="360"/>
      </w:pPr>
      <w:rPr>
        <w:u w:val="none" w:color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 w:color="auto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 w:color="auto"/>
      </w:rPr>
    </w:lvl>
    <w:lvl w:ilvl="3">
      <w:start w:val="1"/>
      <w:lvlText w:val="(%4)"/>
      <w:lvlJc w:val="left"/>
      <w:pPr>
        <w:ind w:left="2880" w:hanging="360"/>
      </w:pPr>
      <w:rPr>
        <w:u w:val="none" w:color="auto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 w:color="auto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 w:color="auto"/>
      </w:rPr>
    </w:lvl>
    <w:lvl w:ilvl="6">
      <w:start w:val="1"/>
      <w:lvlText w:val="%7."/>
      <w:lvlJc w:val="left"/>
      <w:pPr>
        <w:ind w:left="5040" w:hanging="360"/>
      </w:pPr>
      <w:rPr>
        <w:u w:val="none" w:color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 w:color="auto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 w:color="auto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9"/>
  </w:num>
  <w:num w:numId="6">
    <w:abstractNumId w:val="1"/>
  </w:num>
  <w:num w:numId="7">
    <w:abstractNumId w:val="8"/>
  </w:num>
  <w:num w:numId="8">
    <w:abstractNumId w:val="0"/>
  </w:num>
  <w:num w:numId="9">
    <w:abstractNumId w:val="11"/>
  </w:num>
  <w:num w:numId="10">
    <w:abstractNumId w:val="12"/>
  </w:num>
  <w:num w:numId="11">
    <w:abstractNumId w:val="6"/>
  </w:num>
  <w:num w:numId="12">
    <w:abstractNumId w:val="7"/>
  </w:num>
  <w:num w:numId="13">
    <w:abstractNumId w:val="14"/>
  </w:num>
  <w:num w:numId="14">
    <w:abstractNumId w:val="1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removePersonalInformation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" w:eastAsia="" w:bidi="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ko"/>
        <w:rFonts w:ascii="Arial" w:eastAsia="Arial" w:hAnsi="Arial" w:cs="Arial"/>
        <w:sz w:val="22"/>
        <w:szCs w:val="22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customStyle="1" w:styleId="Normal">
    <w:name w:val="normal"/>
  </w:style>
  <w:style w:type="table" w:customStyle="1" w:styleId="TableNormal">
    <w:name w:val="Table Normal"/>
  </w:style>
  <w:style w:type="paragraph" w:styleId="Heading1">
    <w:name w:val="heading 1"/>
    <w:basedOn w:val="Normal"/>
    <w:next w:val="Normal"/>
    <w:pPr>
      <w:keepNext/>
      <w:keepLines/>
      <w:pageBreakBefore w:val="off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pageBreakBefore w:val="off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pageBreakBefore w:val="off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pageBreakBefore w:val="off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pageBreakBefore w:val="off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pageBreakBefore w:val="off"/>
      <w:spacing w:after="80" w:before="240" w:lineRule="auto"/>
    </w:pPr>
    <w:rPr>
      <w:i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/>
      <w:keepLines/>
      <w:pageBreakBefore w:val="off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pageBreakBefore w:val="off"/>
      <w:spacing w:after="320" w:before="0" w:lineRule="auto"/>
    </w:pPr>
    <w:rPr>
      <w:rFonts w:ascii="Arial" w:eastAsia="Arial" w:hAnsi="Arial" w:cs="Arial"/>
      <w:i w:val="0"/>
      <w:color w:val="666666"/>
      <w:sz w:val="30"/>
      <w:szCs w:val="30"/>
    </w:rPr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a3">
    <w:name w:val="Default Paragraph Font"/>
    <w:uiPriority w:val="1"/>
    <w:semiHidden/>
    <w:unhideWhenUsed/>
  </w:style>
  <w:style w:type="paragraph" w:default="1" w:styleId="a2">
    <w:name w:val="Normal"/>
    <w:qFormat/>
    <w:pPr>
      <w:autoSpaceDE w:val="off"/>
      <w:autoSpaceDN w:val="off"/>
      <w:widowControl w:val="off"/>
      <w:wordWrap w:val="off"/>
    </w:pPr>
  </w:style>
  <w:style w:type="numbering" w:default="1" w:styleId="a5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image" Target="media/image1.jpeg" /><Relationship Id="rId1" Type="http://schemas.openxmlformats.org/officeDocument/2006/relationships/image" Target="media/image2.jpeg" /><Relationship Id="rId2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settings" Target="settings.xml" /><Relationship Id="rId6" Type="http://schemas.openxmlformats.org/officeDocument/2006/relationships/fontTable" Target="fontTable.xml" /><Relationship Id="rId7" Type="http://schemas.openxmlformats.org/officeDocument/2006/relationships/webSettings" Target="webSettings.xml" /><Relationship Id="rId8" Type="http://schemas.openxmlformats.org/officeDocument/2006/relationships/numbering" Target="numbering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modified xsi:type="dcterms:W3CDTF">2024-06-20T08:30:24Z</dcterms:modified>
  <cp:version>1300.0100.01</cp:version>
</cp:coreProperties>
</file>